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III 1</w:t>
      </w:r>
    </w:p>
    <w:p>
      <w:r>
        <w:t>Bundesgericht (BGE), 1969-03-18, DE</w:t>
      </w:r>
    </w:p>
    <w:p>
      <w:r>
        <w:rPr>
          <w:b/>
        </w:rPr>
        <w:t xml:space="preserve">Quelle: </w:t>
      </w:r>
      <w:r>
        <w:t>https://mcp.opencaselaw.ch/entscheid/bge_95 III 1</w:t>
      </w:r>
    </w:p>
    <w:p>
      <w:r>
        <w:t>FR: ATF 95 III 1</w:t>
      </w:r>
    </w:p>
    <w:p>
      <w:r>
        <w:t>IT: DTF 95 III 1</w:t>
      </w:r>
    </w:p>
    <w:p>
      <w:pPr>
        <w:pStyle w:val="Heading2"/>
      </w:pPr>
      <w:r>
        <w:t>Regeste</w:t>
      </w:r>
    </w:p>
    <w:p>
      <w:r>
        <w:t>Regeste 1. Inwiefern unterliegen die Eintragungen der vom Betreibungsamte zu führenden Register (Art. 8 SchKG und Art. 28 ff. der Verordnung Nr. 1 zum SchKG, vom 18. Dezember 1891) der Beschwerde nach Art. 17 ff. SchKG? (Erw. 1 Abs. 1). 2. Die eingehenden Betreibungsbegehren sind in der Regel im Eingangs- und im Betreibungsregister (Art. 29 und 30 der VO I) einzutragen, und es bleibt alsdann dieser Eintrag bestehen, auch wenn das betreffende Amt die Betreibung wegen örtlicher Unzuständigkeit nicht durchführen kann. Erkennt das Amt aber seine örtliche Unzuständigkeit sogleich nach Eingang des Begehrens, so hat es lediglich einen Tagebuchvermerk (Art. 33 der Verordnung) vorzunehmen und ein Rückweisungsschreiben an den Gläubiger zu richten. (Erw. 1 Abs. 2). 3. Ob und in welchem Masse einem Interessenten Auskunft über Registereintragungen zu erteilen sei, muss von Fall zu Fall auf Grund des Interessennachweises entschieden werden. Es ist nicht zulässig, dem Amte hierüber zum vornherein allgemeine Weisungen zu erteilen. (Erw. 2).</w:t>
      </w:r>
    </w:p>
    <w:p>
      <w:pPr>
        <w:pStyle w:val="Heading2"/>
      </w:pPr>
      <w:r>
        <w:t>Erwägungen</w:t>
      </w:r>
    </w:p>
    <w:p>
      <w:r>
        <w:rPr>
          <w:b/>
        </w:rPr>
        <w:t>E. 1</w:t>
      </w:r>
    </w:p>
    <w:p>
      <w:r>
        <w:t>Art. 17 Abs. 1 SchKG unterstellt der Beschwerde jede "Verfügung" eines Betreibungs- oder eines Konkursamtes. Die in Art. 8 Abs. 1 SchKG vorgeschriebene Protokollführung, insbesondere die Eintragungen in die von Art. 28 ff. der Verordnung Nr. 1 vom 18. Dezember 1891 des Bundesrates zum BGE 95 III 1 S. 4 SchKG vorgeschriebenen Register, betreffen die innere Organisation der Ämter und stellen keine nach aussen wirkenden Verfügungen wie etwa die Eintragungen des Eigentumsvorbehaltsregisters dar. Freilich dienen jene Protokolle auch zur Orientierung irgendwelcher Personen, die ein Interesse nachweisen, und geniessen eine erhöhte Beweiskraft, auf welche sich diejenigen, zu deren Gunsten sie lauten, berufen können ( Art. 8 Abs. 2 und 3 SchKG ). Daher kann sowohl das Unterbleiben wie auch die Unklarheit oder Unrichtigkeit emer Eintragung einen Grund zur Beschwerde bilden, und ebenso die ungerechtfertigte Erteilung oder Verweigerung einer auf diese amtlichen Aufzeichnungen gestützten Auskunft. Darum geht es jedoch beim Hauptbegehren der vorliegenden Beschwerde, womit der Rekurrent die "Löschung" eines Registereintrages verlangt, nicht. Dieses Begehren richtet sich auch nicht gegen die Erhebung einer Gebühr für eine Amtsverrichtung, die aus diesem Grund auf ihre gesetzliche Grundlage zu überprüfen wäre. Vielmehr will der Rekurrent die Eintragung eines gegen ihn eingegangenen Betreibungsbegehrens nun acht Jahre später löschen lassen, weil er befürchtet, die Kenntnis dieses Eintrages durch Drittpersonen könnte ihm nachteilig sein. Allerdings ist er der Ansicht, das Betreibungsamt hätte, als es seiner örtlichen Unzuständigkeit gewahr wurde, den bereits erfolgten Eintrag sogleich annullieren sollen, um jeglicher Kundgabe desselben an Drittpersonen vorzubeugen. Es mag dahingestellt bleiben, ob der Rekurrent aus diesem Gesichtspunkt ein Recht zur Beschwerde über den Registereintrag vom 21. Juni 1960 herleiten kann. Denn jedenfalls erweist sich die in diesem Punkt erhobene Rüge als unbegründet. Zwar ist dem Rekurrenten darin beizustimmen, dass das Betreibungsamt schon vor Zustellung des bereits ausgefertigten Zahlungsbefehls von seinem Wegzug in einen anderen Betreibungskreis erfuhr. Die Zustellung unterblieb daher; es kam somit nicht zu der von der kantonalen Aufsichtsbehörde an und für sich richtig als "bloss anfechtbar, nicht nichtig" bezeichneten Betreibungshandlung ( BGE 88 III 11 ). Allein das Amt hatte sich beim Eingang des Betreibungsbegehrens gemäss der darin angegebenen Wohnadresse des Rekurrenten, wie dem Amtsbericht zu entnehmen ist, als örtlich zuständig betrachtet (und betrachten dürfen), weshalb die Eintragung im Eingangsregister (nach Art. 29 Abs. 1 der VO I) und im Betreibungsbuch BGE 95 III 1 S. 5 bzw. in der Betreibungskarte (nach Art. 30 Abs. 1 der VO I) in Ordnung ging. Dass diese Einträge nachträglich zu "löschen" seien, weil das Betreibungsamt in Wahrheit örtlich nicht zuständig war, trifft nicht zu. Nur wenn das Amt schon beim Empfang des Betreibungsbegehrens seine Unzuständigkeit mit Sicherheit erkannt hätte, wäre es nicht am Platz gewesen, die Betreibung in der angegebenen Weise einzutragen. In diesem Falle hätte ein Tagebuchvermerk nach Art. 33 der VO I genügt (vgl. BGE 85 III 1 ff., wonach es auch für die Gebührenerhebung darauf ankommt, ob das Betreibungsamt seine Unzuständigkeit sogleich beim Empfang des Begehrens erkennt und es daher bei einem Tagebuchvermerk und einem Rückweisungsschreiben an den Gläubiger bewenden lässt, oder ob sich die Unzuständigkeit erst nach Ausführung der verlangten Betreibungshandlung ergibt: alsdann ist keine besondere Gebühr für die - natürlich erfolgte (und fortbestehende) - Einschreibung im Eingangs- und im Betreibungsregister zu erheben). Im vorliegenden Fall ist es nicht zu beanstanden, dass das Betreibungsamt die vermeintlich in seinen Kreis gehörende Betreibung in diese beiden Register eintrug, und dieser Eintrag muss nun auch während der vorgeschriebenen Dauer der Aufbewahrung des Betreibungsregisters bestehen bleiben. Mit Recht bemerkt die untere Aufsichtsbehörde: "Jede Tilgung in den Registern eines Amtes würde die Kontrolle der Geschäftsführung verunmöglichen, denn damit wäre jeder Beweis für das Tätigwerden des Amtes beseitigt."</w:t>
      </w:r>
    </w:p>
    <w:p>
      <w:r>
        <w:rPr>
          <w:b/>
        </w:rPr>
        <w:t>E. 2</w:t>
      </w:r>
    </w:p>
    <w:p>
      <w:r>
        <w:t>Dem Rekurrenten liegt es vor allem daran, eine Bekanntgabe des erwähnten Einganges an Drittpersonen zu verhindern. Mit seinem Eventualbegehren will er daher das Betreibungsamt anweisen lassen, bei einer ihn betreffenden Auskunft jene Betreibung "nicht zu berücksichtigen bzw. nicht bekannt zu geben". Eine allgemeine Anweisung solcher Art ist jedoch unzulässig und würde dem Art. 8 Abs. 2 SchKG widersprechen. Sollte sich jemand beim Betreibungsamt Zürich 11 als dem Amt seines früheren Wohnsitzes danach erkundigen, ob und was für Betreibungen gegen den Rekurrenten angehoben und durchgeführt wurden, so wird es vom Interessennachweis abhangen, ob und inwieweit die Einsicht in das Betreibungsregister zu gewähren und welche Auskunft allenfalls in Form eines Registerauszuges zu erteilen sei: ob sie sich auf die durchgeführten Verwertungen oder auf die Ausstellung von Verlustscheinen beschränken BGE 95 III 1 S. 6 oder aber alle angehobenen, wenn auch nicht bis zur Verwertung gelangten Betreibungen mitumfassen solle. Darüber kann nicht zum voraus, sondern erst beim Vorliegen des einzelnen Gesuches entschieden werden. Dispositiv Demnach erkennt die Schuldbetr.- u.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